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DFDFE"/>
        <w:spacing w:before="210"/>
        <w:ind w:left="0" w:leftChars="0" w:firstLine="0" w:firstLineChars="0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 xml:space="preserve">附件2： </w:t>
      </w:r>
      <w:r>
        <w:rPr>
          <w:rFonts w:ascii="黑体" w:hAnsi="黑体" w:eastAsia="黑体" w:cs="宋体"/>
          <w:color w:val="auto"/>
          <w:kern w:val="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DFDFE"/>
        <w:spacing w:before="210"/>
        <w:ind w:left="440" w:firstLine="2560" w:firstLineChars="800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仿宋_GB2312" w:hAnsi="PingFang-SC-Regular" w:eastAsia="仿宋_GB2312" w:cs="宋体"/>
          <w:color w:val="auto"/>
          <w:kern w:val="0"/>
          <w:sz w:val="32"/>
          <w:szCs w:val="32"/>
        </w:rPr>
        <w:t>经典诵读比赛评分标准</w:t>
      </w:r>
    </w:p>
    <w:bookmarkEnd w:id="0"/>
    <w:tbl>
      <w:tblPr>
        <w:tblStyle w:val="3"/>
        <w:tblW w:w="878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354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</w:tcPr>
          <w:p>
            <w:pPr>
              <w:pStyle w:val="5"/>
              <w:widowControl/>
              <w:spacing w:before="21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</w:rPr>
              <w:t>评分项目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1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</w:rPr>
              <w:t>分值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1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1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</w:trPr>
        <w:tc>
          <w:tcPr>
            <w:tcW w:w="18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仪表形象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10分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服饰大方、自然、整齐，举止从容、端正，精神饱满，态度亲切。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语言表达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30分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普通话标准，吐字清楚、准确，语言生动，语气、语调、声音、节奏富于变化，轻重缓急、抑扬顿挫切合朗诵的内容，能准确、恰当地表情达意，舒心悦耳，娓娓动听。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态势神情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20分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姿态、动作、手势、表情、眼神能准确、鲜明、自然、形象地表达朗诵内容和思想感情，渲染气氛，增强表达效果。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朗诵效果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20分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朗诵有感染力，声情并茂，朗诵富有韵味和表现力，能与观众产生共鸣。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时间要求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10分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诵读时长不少于3分钟并且不超过5分钟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18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创意</w:t>
            </w:r>
          </w:p>
        </w:tc>
        <w:tc>
          <w:tcPr>
            <w:tcW w:w="1276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10分</w:t>
            </w:r>
          </w:p>
        </w:tc>
        <w:tc>
          <w:tcPr>
            <w:tcW w:w="3543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诵读形式富有创意，配以适当表演的形式。</w:t>
            </w:r>
          </w:p>
        </w:tc>
        <w:tc>
          <w:tcPr>
            <w:tcW w:w="2127" w:type="dxa"/>
          </w:tcPr>
          <w:p>
            <w:pPr>
              <w:pStyle w:val="5"/>
              <w:widowControl/>
              <w:spacing w:before="240" w:after="24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843" w:type="dxa"/>
          </w:tcPr>
          <w:p>
            <w:pPr>
              <w:pStyle w:val="5"/>
              <w:widowControl/>
              <w:spacing w:before="21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6946" w:type="dxa"/>
            <w:gridSpan w:val="3"/>
          </w:tcPr>
          <w:p>
            <w:pPr>
              <w:pStyle w:val="5"/>
              <w:widowControl/>
              <w:spacing w:before="210"/>
              <w:ind w:firstLine="0" w:firstLineChars="0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</w:rPr>
            </w:pPr>
          </w:p>
        </w:tc>
      </w:tr>
    </w:tbl>
    <w:p>
      <w:pPr>
        <w:pStyle w:val="5"/>
        <w:widowControl/>
        <w:shd w:val="clear" w:color="auto" w:fill="FDFDFE"/>
        <w:spacing w:before="210"/>
        <w:ind w:left="440" w:firstLine="0" w:firstLineChars="0"/>
        <w:jc w:val="left"/>
        <w:rPr>
          <w:rFonts w:ascii="仿宋_GB2312" w:hAnsi="黑体" w:eastAsia="仿宋_GB2312" w:cs="宋体"/>
          <w:color w:val="05073B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评分人：                        时间：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panose1 w:val="020B0400000000000000"/>
    <w:charset w:val="86"/>
    <w:family w:val="roman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69D72"/>
    <w:rsid w:val="BDD69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2023-11-02T08:54:00Z</dcterms:created>
  <dc:creator>爱吃芋泥</dc:creator>
  <cp:lastModifiedBy>爱吃芋泥</cp:lastModifiedBy>
  <dcterms:modified xsi:type="dcterms:W3CDTF">2023-11-02T08:55:10Z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CDEE0BBFA6FBF7D53AF34265328DA6CC_41</vt:lpwstr>
  </property>
</Properties>
</file>