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autoSpaceDN w:val="0"/>
        <w:adjustRightInd w:val="0"/>
        <w:snapToGrid w:val="0"/>
        <w:spacing w:before="0" w:beforeAutospacing="0" w:after="0" w:afterAutospacing="0" w:line="560" w:lineRule="exact"/>
        <w:ind w:left="0" w:right="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pPr>
        <w:keepNext w:val="0"/>
        <w:keepLines w:val="0"/>
        <w:widowControl w:val="0"/>
        <w:suppressLineNumbers w:val="0"/>
        <w:autoSpaceDE/>
        <w:autoSpaceDN w:val="0"/>
        <w:adjustRightInd w:val="0"/>
        <w:snapToGrid w:val="0"/>
        <w:spacing w:before="0" w:beforeAutospacing="0" w:after="0" w:afterAutospacing="0" w:line="560" w:lineRule="exact"/>
        <w:ind w:left="0" w:right="0"/>
        <w:jc w:val="left"/>
        <w:rPr>
          <w:rFonts w:hint="eastAsia" w:ascii="仿宋_GB2312" w:hAnsi="仿宋_GB2312" w:eastAsia="仿宋_GB2312" w:cs="仿宋_GB2312"/>
          <w:kern w:val="0"/>
          <w:sz w:val="32"/>
          <w:szCs w:val="32"/>
          <w:lang w:val="en-US" w:eastAsia="zh-CN" w:bidi="ar"/>
        </w:rPr>
      </w:pPr>
    </w:p>
    <w:p>
      <w:pPr>
        <w:keepNext w:val="0"/>
        <w:keepLines w:val="0"/>
        <w:widowControl w:val="0"/>
        <w:suppressLineNumbers w:val="0"/>
        <w:autoSpaceDE/>
        <w:autoSpaceDN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2024年度郑州市社科调研课题选题参考指南</w:t>
      </w:r>
      <w:bookmarkStart w:id="0" w:name="_GoBack"/>
      <w:bookmarkEnd w:id="0"/>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华文中宋" w:eastAsia="仿宋_GB2312" w:cs="仿宋_GB2312"/>
          <w:bCs/>
          <w:sz w:val="32"/>
          <w:szCs w:val="32"/>
          <w:lang w:val="en-US"/>
        </w:rPr>
      </w:pP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r>
        <w:rPr>
          <w:rFonts w:hint="eastAsia" w:ascii="黑体" w:hAnsi="宋体" w:eastAsia="黑体" w:cs="黑体"/>
          <w:bCs/>
          <w:kern w:val="2"/>
          <w:sz w:val="30"/>
          <w:szCs w:val="30"/>
          <w:lang w:val="en-US" w:eastAsia="zh-CN" w:bidi="ar"/>
        </w:rPr>
        <w:t>哲政·党建</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pacing w:val="-11"/>
          <w:sz w:val="30"/>
          <w:szCs w:val="30"/>
          <w:lang w:val="en-US"/>
        </w:rPr>
      </w:pPr>
      <w:r>
        <w:rPr>
          <w:rFonts w:hint="eastAsia" w:ascii="仿宋_GB2312" w:hAnsi="Times New Roman" w:eastAsia="仿宋_GB2312" w:cs="仿宋_GB2312"/>
          <w:bCs/>
          <w:spacing w:val="-11"/>
          <w:kern w:val="2"/>
          <w:sz w:val="30"/>
          <w:szCs w:val="30"/>
          <w:lang w:val="en-US" w:eastAsia="zh-CN" w:bidi="ar"/>
        </w:rPr>
        <w:t>1.习近平新时代中国特色社会主义思想学理化阐释及在郑州实践研究</w:t>
      </w:r>
    </w:p>
    <w:p>
      <w:pPr>
        <w:keepNext w:val="0"/>
        <w:keepLines w:val="0"/>
        <w:widowControl w:val="0"/>
        <w:suppressLineNumbers w:val="0"/>
        <w:adjustRightInd w:val="0"/>
        <w:snapToGrid w:val="0"/>
        <w:spacing w:before="0" w:beforeAutospacing="0" w:after="0" w:afterAutospacing="0" w:line="460" w:lineRule="exact"/>
        <w:ind w:left="300" w:right="0" w:hanging="300" w:hangingChars="10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2.贯彻落实习近平总书记关于郑州重要指示精神，推动郑州高质量发展研究</w:t>
      </w:r>
    </w:p>
    <w:p>
      <w:pPr>
        <w:keepNext w:val="0"/>
        <w:keepLines w:val="0"/>
        <w:widowControl w:val="0"/>
        <w:suppressLineNumbers w:val="0"/>
        <w:spacing w:before="0" w:beforeAutospacing="0" w:after="0" w:afterAutospacing="0" w:line="52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3.习近平文化思想的郑州实践研究</w:t>
      </w:r>
    </w:p>
    <w:p>
      <w:pPr>
        <w:keepNext w:val="0"/>
        <w:keepLines w:val="0"/>
        <w:widowControl w:val="0"/>
        <w:suppressLineNumbers w:val="0"/>
        <w:adjustRightInd w:val="0"/>
        <w:snapToGrid w:val="0"/>
        <w:spacing w:before="0" w:beforeAutospacing="0" w:after="0" w:afterAutospacing="0" w:line="460" w:lineRule="exact"/>
        <w:ind w:left="300" w:right="0" w:hanging="300" w:hangingChars="10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4.党的十八大以来郑州取得的原创性、变革性实践，突破性进展和标志性成果经验研究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5.中国式现代化的郑州探索与实践研究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6.新时期宣传思想工作的新形势、新要求、新思路研究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7.强化意识形态责任制落实对策研究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8.郑州防范化解重大风险面临的挑战与对策研究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9.郑州构建特大城市重大安全风险防控体系研究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10.自媒体时代超大城市舆情疏导机制研究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11.党建引领特大城市现代化治理新思路研究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12.党建引领乡村振兴问题研究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13.新时代郑州基层党建新模式新路径探索研究</w:t>
      </w:r>
    </w:p>
    <w:p>
      <w:pPr>
        <w:pStyle w:val="6"/>
        <w:keepNext w:val="0"/>
        <w:keepLines w:val="0"/>
        <w:widowControl/>
        <w:suppressLineNumbers w:val="0"/>
        <w:spacing w:line="520" w:lineRule="exact"/>
        <w:ind w:left="0" w:firstLine="0" w:firstLineChars="0"/>
        <w:rPr>
          <w:rFonts w:hint="eastAsia" w:ascii="仿宋_GB2312" w:hAnsi="Times New Roman" w:eastAsia="仿宋_GB2312" w:cs="Times New Roman"/>
          <w:bCs/>
          <w:sz w:val="30"/>
          <w:szCs w:val="30"/>
          <w:lang w:val="en-US"/>
        </w:rPr>
      </w:pPr>
      <w:r>
        <w:rPr>
          <w:rFonts w:hint="eastAsia" w:ascii="仿宋_GB2312" w:hAnsi="Times New Roman" w:eastAsia="仿宋_GB2312" w:cs="Times New Roman"/>
          <w:bCs/>
          <w:sz w:val="30"/>
          <w:szCs w:val="30"/>
          <w:lang w:val="en-US"/>
        </w:rPr>
        <w:t>14.</w:t>
      </w:r>
      <w:r>
        <w:rPr>
          <w:rFonts w:hint="eastAsia" w:ascii="仿宋_GB2312" w:hAnsi="Times New Roman" w:eastAsia="仿宋_GB2312" w:cs="Times New Roman"/>
          <w:bCs/>
          <w:sz w:val="30"/>
          <w:szCs w:val="30"/>
          <w:lang w:eastAsia="zh-CN"/>
        </w:rPr>
        <w:t>党建引领基层治理体系和治理能力现代化研究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15.创建全国文明城市典范城市方法路径研究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16.实施市民公共文明素养提升行动研究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17.进一步健全志愿服务体系，推动志愿者服务常态化对策研究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18.领导干部的专业化能力提升对策研究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19.郑州市人才政策体系建设的效能评价研究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20.高水平推进法治郑州、平安郑州建设研究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21.增强全民国家安全意识和法治意识的有效路径研究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22.城市网络意识形态风险防范与应对策略研究</w:t>
      </w:r>
    </w:p>
    <w:p>
      <w:pPr>
        <w:pStyle w:val="6"/>
        <w:widowControl/>
        <w:spacing w:line="520" w:lineRule="exact"/>
        <w:ind w:left="0" w:firstLine="0" w:firstLineChars="0"/>
        <w:rPr>
          <w:rFonts w:hint="eastAsia" w:ascii="仿宋_GB2312" w:hAnsi="Times New Roman" w:eastAsia="仿宋_GB2312" w:cs="Times New Roman"/>
          <w:bCs/>
          <w:sz w:val="30"/>
          <w:szCs w:val="30"/>
          <w:lang w:val="en-US"/>
        </w:rPr>
      </w:pPr>
      <w:r>
        <w:rPr>
          <w:rFonts w:hint="eastAsia" w:ascii="仿宋_GB2312" w:hAnsi="Times New Roman" w:eastAsia="仿宋_GB2312" w:cs="Times New Roman"/>
          <w:bCs/>
          <w:sz w:val="30"/>
          <w:szCs w:val="30"/>
          <w:lang w:val="en-US"/>
        </w:rPr>
        <w:t>23.</w:t>
      </w:r>
      <w:r>
        <w:rPr>
          <w:rFonts w:hint="eastAsia" w:ascii="仿宋_GB2312" w:hAnsi="Times New Roman" w:eastAsia="仿宋_GB2312" w:cs="Times New Roman"/>
          <w:bCs/>
          <w:sz w:val="30"/>
          <w:szCs w:val="30"/>
          <w:lang w:eastAsia="zh-CN"/>
        </w:rPr>
        <w:t>加强党对宣传思想文化工作的领导研究</w:t>
      </w:r>
    </w:p>
    <w:p>
      <w:pPr>
        <w:pStyle w:val="6"/>
        <w:widowControl/>
        <w:spacing w:line="520" w:lineRule="exact"/>
        <w:ind w:left="0" w:firstLine="0" w:firstLineChars="0"/>
        <w:rPr>
          <w:rFonts w:hint="eastAsia" w:ascii="仿宋_GB2312" w:eastAsia="仿宋_GB2312" w:cs="仿宋_GB2312"/>
          <w:bCs/>
          <w:sz w:val="30"/>
          <w:szCs w:val="30"/>
          <w:lang w:val="en-US"/>
        </w:rPr>
      </w:pPr>
      <w:r>
        <w:rPr>
          <w:rFonts w:hint="eastAsia" w:ascii="仿宋_GB2312" w:hAnsi="Times New Roman" w:eastAsia="仿宋_GB2312" w:cs="Times New Roman"/>
          <w:bCs/>
          <w:sz w:val="30"/>
          <w:szCs w:val="30"/>
          <w:lang w:val="en-US"/>
        </w:rPr>
        <w:t>24.</w:t>
      </w:r>
      <w:r>
        <w:rPr>
          <w:rFonts w:hint="eastAsia" w:ascii="仿宋_GB2312" w:eastAsia="仿宋_GB2312" w:cs="仿宋_GB2312"/>
          <w:bCs/>
          <w:sz w:val="30"/>
          <w:szCs w:val="30"/>
          <w:lang w:eastAsia="zh-CN"/>
        </w:rPr>
        <w:t>筑牢中华民族共同体意识研究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25.郑州打造青年就业创业主战场对策研究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26.新时期大学生思想行为特点及教育引导研究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r>
        <w:rPr>
          <w:rFonts w:hint="eastAsia" w:ascii="黑体" w:hAnsi="宋体" w:eastAsia="黑体" w:cs="黑体"/>
          <w:bCs/>
          <w:kern w:val="2"/>
          <w:sz w:val="30"/>
          <w:szCs w:val="30"/>
          <w:lang w:val="en-US" w:eastAsia="zh-CN" w:bidi="ar"/>
        </w:rPr>
        <w:t>经济·创新</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1.郑州国家中心城市现代化建设对策研究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2.郑州建设国家创新高地对策研究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3.郑州先进制造业高地建设对策研究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4.郑州开放高地建设问题研究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5.郑州人才高地建设问题研究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6.未来15年郑州的核心竞争力提升研究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7.前瞻布局郑州未来产业发展研究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8.“当好国家队、提升国际化、引领现代化河南建设”问题研究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9.郑州市开放能级再提升对策研究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10.郑州发展数字经济的路径研究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11.郑州市民营经济发展现状及提升对策研究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12.郑州与其他国家中心城市竞争力的比较研究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13.加快建设国际化现代化综合交通枢纽问题研究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14.推进郑州交通枢纽优势向枢纽经济优势转变对策研究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15.郑州市枢纽产业集群培育研究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16.郑州城市枢纽能级提升对策研究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17.郑州口岸经济发展对策研究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18.郑州国际性消费中心城市建设路径研究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19.郑州加快打造高质量发展增长极的对策研究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20.郑州</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十大战略</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高质量实施的体制机制创新研究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 xml:space="preserve">21.郑州构建以国内大循环为主体、国内国际双循环相互促进的新发                  </w:t>
      </w:r>
    </w:p>
    <w:p>
      <w:pPr>
        <w:keepNext w:val="0"/>
        <w:keepLines w:val="0"/>
        <w:widowControl w:val="0"/>
        <w:suppressLineNumbers w:val="0"/>
        <w:adjustRightInd w:val="0"/>
        <w:snapToGrid w:val="0"/>
        <w:spacing w:before="0" w:beforeAutospacing="0" w:after="0" w:afterAutospacing="0" w:line="460" w:lineRule="exact"/>
        <w:ind w:left="0" w:right="0" w:firstLine="300" w:firstLineChars="10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展格局中长期战略对策研究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22.以产业协同带动郑州都市圈高质量发展研究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23.郑州都市圈产业一体化水平及提升对策</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24.郑州都市圈与全国其他都市圈发展的比较问题研究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25.郑州都市圈建设战略问题研究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26.超大规模城市现代化建设的特点、机遇与挑战研究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27.郑州市推动内需规模优势向产业链供应链协同优势转变研究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28.郑州在中部崛起战略中的支撑作用研究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29.郑州市打造国家区域科技创新中心研究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30.推动现代服务业提速提质发展研究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31.全球数字贸易规则的发展趋势与郑州应对策略研究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 xml:space="preserve">32.推动数字经济与实体经济高质量融合发展研究 </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33.数字经济推动郑州产业转型升级研究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34.郑州自贸区高质量发展问题研究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35.郑州建设现代产业体系问题研究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36.郑州传统优势产业升级问题研究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37.郑州高端服务业与先进制造业融合发展机制研究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38.加快“数字郑州”建设路径研究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39.郑州市产业链供应链安全稳定建设研究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40.加快县域经济高质量发展研究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41.郑州韧性城市建设重大问题和对策研究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42.郑州推动绿色发展的难点与对策研究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43.郑州市新型城镇化提质发展对策研究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44.郑州市建设多层次商贸体系对策建议</w:t>
      </w:r>
    </w:p>
    <w:p>
      <w:pPr>
        <w:keepNext w:val="0"/>
        <w:keepLines w:val="0"/>
        <w:widowControl w:val="0"/>
        <w:suppressLineNumbers w:val="0"/>
        <w:adjustRightInd w:val="0"/>
        <w:snapToGrid w:val="0"/>
        <w:spacing w:before="0" w:beforeAutospacing="0" w:after="0" w:afterAutospacing="0" w:line="460" w:lineRule="exact"/>
        <w:ind w:left="0" w:right="0"/>
        <w:jc w:val="both"/>
        <w:rPr>
          <w:lang w:val="en-US"/>
        </w:rPr>
      </w:pPr>
      <w:r>
        <w:rPr>
          <w:rFonts w:hint="eastAsia" w:ascii="仿宋_GB2312" w:hAnsi="Times New Roman" w:eastAsia="仿宋_GB2312" w:cs="仿宋_GB2312"/>
          <w:bCs/>
          <w:kern w:val="2"/>
          <w:sz w:val="30"/>
          <w:szCs w:val="30"/>
          <w:lang w:val="en-US" w:eastAsia="zh-CN" w:bidi="ar"/>
        </w:rPr>
        <w:t>45.郑州全面推进乡村振兴问题研究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46.增强城市对产业的承载力，产业对城市的支撑力研究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47.建立完善科技、产业、金融协同促进的政策体系研究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48.推进国家服务型示范城市建设研究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49.推动制造业数字化、网络化、智能化转型研究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50.推进以企业为主体的产学研结合研究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51.郑州构建一流营商环境研究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52.构建市场化、法治化、国际化营商环境体系研究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53.特大城市背景下优化营商环境的体制机制研究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54.郑开同城化高质量发展建设研究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55.郑州市城市更新可持续发展模式研究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56.加快构建新发展格局，着力推动郑州经济高质量发展研究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57.郑州市扩大内需、刺激消费、推动经济增长对策研究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58.科技自立自强的郑州方案研究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59.加快构建郑州科技成果评价体系研究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60.郑州创新科技成果转化激励和服务机制研究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61.以精品村、示范村为带动，推动美丽乡村建设研究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62.郑州市综合承载力提升研究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63.郑州推进全面绿色转型研究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64.郑州市现代都市农业发展方向及路径研究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65.加快建设青年发展型城市研究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r>
        <w:rPr>
          <w:rFonts w:hint="eastAsia" w:ascii="黑体" w:hAnsi="宋体" w:eastAsia="黑体" w:cs="黑体"/>
          <w:bCs/>
          <w:kern w:val="2"/>
          <w:sz w:val="30"/>
          <w:szCs w:val="30"/>
          <w:lang w:val="en-US" w:eastAsia="zh-CN" w:bidi="ar"/>
        </w:rPr>
        <w:t>历史·文化</w:t>
      </w:r>
    </w:p>
    <w:p>
      <w:pPr>
        <w:keepNext w:val="0"/>
        <w:keepLines w:val="0"/>
        <w:widowControl w:val="0"/>
        <w:numPr>
          <w:ilvl w:val="0"/>
          <w:numId w:val="1"/>
        </w:numPr>
        <w:suppressLineNumbers w:val="0"/>
        <w:adjustRightInd w:val="0"/>
        <w:snapToGrid w:val="0"/>
        <w:spacing w:before="0" w:beforeAutospacing="0" w:after="0" w:afterAutospacing="0" w:line="460" w:lineRule="exact"/>
        <w:ind w:left="0" w:right="0" w:firstLine="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加快华夏历史文明传承创新基地全国重地建设研究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2.提升郑州城市文化软实力的对策研究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3.“天地之中、华夏之源、功夫郑州”城市品牌建设研究</w:t>
      </w:r>
    </w:p>
    <w:p>
      <w:pPr>
        <w:pStyle w:val="6"/>
        <w:widowControl/>
        <w:spacing w:line="520" w:lineRule="exact"/>
        <w:ind w:left="0" w:firstLine="0" w:firstLineChars="0"/>
        <w:rPr>
          <w:rFonts w:hint="eastAsia" w:ascii="仿宋_GB2312" w:hAnsi="Times New Roman" w:eastAsia="仿宋_GB2312" w:cs="Times New Roman"/>
          <w:bCs/>
          <w:sz w:val="30"/>
          <w:szCs w:val="30"/>
          <w:lang w:val="en-US"/>
        </w:rPr>
      </w:pPr>
      <w:r>
        <w:rPr>
          <w:rFonts w:hint="eastAsia" w:ascii="仿宋_GB2312" w:hAnsi="Times New Roman" w:eastAsia="仿宋_GB2312" w:cs="Times New Roman"/>
          <w:bCs/>
          <w:sz w:val="30"/>
          <w:szCs w:val="30"/>
          <w:lang w:val="en-US"/>
        </w:rPr>
        <w:t>4.</w:t>
      </w:r>
      <w:r>
        <w:rPr>
          <w:rFonts w:hint="eastAsia" w:ascii="仿宋_GB2312" w:hAnsi="Times New Roman" w:eastAsia="仿宋_GB2312" w:cs="Times New Roman"/>
          <w:bCs/>
          <w:sz w:val="30"/>
          <w:szCs w:val="30"/>
          <w:lang w:eastAsia="zh-CN"/>
        </w:rPr>
        <w:t>郑州文化对中华文化发展的独特贡献研究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5.郑州文化资源优势转化为城市文化软实力的对策研究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6.深化中华文明探源工程的郑州实践研究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7.郑州市文化创意城市建设问题研究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8.郑州市文化产业竞争力比较分析及提升对策</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9.郑州城市形象国际推广研究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10.郑州文化数字化转化创新的对策研究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11.郑州市文化强市建设问题研究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12.嵩山文化的地位价值及保护传承研究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13.郑州市博物馆之城建设问题研究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14.郑州市仰韶文化价值及利用对策研究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15.郑州市动漫产业发展现状及转型问题研究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16.郑州市文化消费新领域培育问题研究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17.郑州殷商文化挖掘与弘扬对策研究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18.郑州市文化全媒体传播体系建设研究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19.郑州市世界文化遗产保护利用问题研究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20.郑州市文旅文创融合发展战略实施路径研究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21.郑州市数字文化产业创新高地建设研究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22.郑州大遗址资源的保护利用问题研究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23.郑州夏商文化的挖掘及传承弘扬问题研究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24.郑州黄河历史文化主地标城市对策研究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25.郑州城市文化基因解码的路径研究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26.郑州城市文化基因的谱系构建及传承策略研究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27.郑州文化对外传播的路径研究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28.</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文艺郑州</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建设的思路与对策研究</w:t>
      </w:r>
      <w:r>
        <w:rPr>
          <w:rFonts w:hint="eastAsia" w:ascii="仿宋_GB2312" w:hAnsi="Times New Roman" w:eastAsia="仿宋_GB2312" w:cs="仿宋_GB2312"/>
          <w:bCs/>
          <w:kern w:val="2"/>
          <w:sz w:val="30"/>
          <w:szCs w:val="30"/>
          <w:lang w:val="en-US" w:eastAsia="zh-CN" w:bidi="ar"/>
        </w:rPr>
        <w:br w:type="textWrapping"/>
      </w:r>
      <w:r>
        <w:rPr>
          <w:rFonts w:hint="eastAsia" w:ascii="仿宋_GB2312" w:hAnsi="Times New Roman" w:eastAsia="仿宋_GB2312" w:cs="仿宋_GB2312"/>
          <w:bCs/>
          <w:kern w:val="2"/>
          <w:sz w:val="30"/>
          <w:szCs w:val="30"/>
          <w:lang w:val="en-US" w:eastAsia="zh-CN" w:bidi="ar"/>
        </w:rPr>
        <w:t>29.</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戏曲郑州</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建设的优势及对策研究</w:t>
      </w:r>
      <w:r>
        <w:rPr>
          <w:rFonts w:hint="eastAsia" w:ascii="仿宋_GB2312" w:hAnsi="Times New Roman" w:eastAsia="仿宋_GB2312" w:cs="仿宋_GB2312"/>
          <w:bCs/>
          <w:kern w:val="2"/>
          <w:sz w:val="30"/>
          <w:szCs w:val="30"/>
          <w:lang w:val="en-US" w:eastAsia="zh-CN" w:bidi="ar"/>
        </w:rPr>
        <w:br w:type="textWrapping"/>
      </w:r>
      <w:r>
        <w:rPr>
          <w:rFonts w:hint="eastAsia" w:ascii="仿宋_GB2312" w:hAnsi="Times New Roman" w:eastAsia="仿宋_GB2312" w:cs="仿宋_GB2312"/>
          <w:bCs/>
          <w:kern w:val="2"/>
          <w:sz w:val="30"/>
          <w:szCs w:val="30"/>
          <w:lang w:val="en-US" w:eastAsia="zh-CN" w:bidi="ar"/>
        </w:rPr>
        <w:t>30.</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书画郑州</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建设的对策研究</w:t>
      </w:r>
      <w:r>
        <w:rPr>
          <w:rFonts w:hint="eastAsia" w:ascii="仿宋_GB2312" w:hAnsi="Times New Roman" w:eastAsia="仿宋_GB2312" w:cs="仿宋_GB2312"/>
          <w:bCs/>
          <w:kern w:val="2"/>
          <w:sz w:val="30"/>
          <w:szCs w:val="30"/>
          <w:lang w:val="en-US" w:eastAsia="zh-CN" w:bidi="ar"/>
        </w:rPr>
        <w:br w:type="textWrapping"/>
      </w:r>
      <w:r>
        <w:rPr>
          <w:rFonts w:hint="eastAsia" w:ascii="仿宋_GB2312" w:hAnsi="Times New Roman" w:eastAsia="仿宋_GB2312" w:cs="仿宋_GB2312"/>
          <w:bCs/>
          <w:kern w:val="2"/>
          <w:sz w:val="30"/>
          <w:szCs w:val="30"/>
          <w:lang w:val="en-US" w:eastAsia="zh-CN" w:bidi="ar"/>
        </w:rPr>
        <w:t>31.</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街舞郑州</w:t>
      </w:r>
      <w:r>
        <w:rPr>
          <w:rFonts w:hint="default" w:ascii="仿宋_GB2312" w:hAnsi="Times New Roman" w:eastAsia="仿宋_GB2312" w:cs="Times New Roman"/>
          <w:bCs/>
          <w:kern w:val="2"/>
          <w:sz w:val="30"/>
          <w:szCs w:val="30"/>
          <w:lang w:val="en-US" w:eastAsia="zh-CN" w:bidi="ar"/>
        </w:rPr>
        <w:t>”</w:t>
      </w:r>
      <w:r>
        <w:rPr>
          <w:rFonts w:hint="eastAsia" w:ascii="仿宋_GB2312" w:hAnsi="Times New Roman" w:eastAsia="仿宋_GB2312" w:cs="仿宋_GB2312"/>
          <w:bCs/>
          <w:kern w:val="2"/>
          <w:sz w:val="30"/>
          <w:szCs w:val="30"/>
          <w:lang w:val="en-US" w:eastAsia="zh-CN" w:bidi="ar"/>
        </w:rPr>
        <w:t>建设问题研究</w:t>
      </w:r>
      <w:r>
        <w:rPr>
          <w:rFonts w:hint="eastAsia" w:ascii="仿宋_GB2312" w:hAnsi="Times New Roman" w:eastAsia="仿宋_GB2312" w:cs="仿宋_GB2312"/>
          <w:bCs/>
          <w:kern w:val="2"/>
          <w:sz w:val="30"/>
          <w:szCs w:val="30"/>
          <w:lang w:val="en-US" w:eastAsia="zh-CN" w:bidi="ar"/>
        </w:rPr>
        <w:br w:type="textWrapping"/>
      </w:r>
      <w:r>
        <w:rPr>
          <w:rFonts w:hint="eastAsia" w:ascii="仿宋_GB2312" w:hAnsi="Times New Roman" w:eastAsia="仿宋_GB2312" w:cs="仿宋_GB2312"/>
          <w:bCs/>
          <w:kern w:val="2"/>
          <w:sz w:val="30"/>
          <w:szCs w:val="30"/>
          <w:lang w:val="en-US" w:eastAsia="zh-CN" w:bidi="ar"/>
        </w:rPr>
        <w:t>32.拓宽郑州市文旅文创新赛道的对策研究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33.黄帝“根”文化的传承与创新研究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34.郑州功夫文化的传播弘扬研究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35.打造郑州新型公共文化空间对策研究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36.郑州特色文化街区建设研究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37.郑州加快建设高水平国际旅游目的地研究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38.加快推进文化创意产业发展研究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39.深入推进城乡公共文化服务体系一体化建设</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40.全媒体传播视域下郑州国际营销体系构建研究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41.融媒体时代的舆论引导机制研究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42.提升郑州文化传播力、影响力、渗透力研究</w:t>
      </w:r>
    </w:p>
    <w:p>
      <w:pPr>
        <w:pStyle w:val="6"/>
        <w:widowControl/>
        <w:spacing w:line="520" w:lineRule="exact"/>
        <w:ind w:left="0" w:firstLine="0" w:firstLineChars="0"/>
        <w:rPr>
          <w:rFonts w:hint="eastAsia" w:ascii="仿宋_GB2312" w:eastAsia="仿宋_GB2312" w:cs="仿宋_GB2312"/>
          <w:bCs/>
          <w:sz w:val="30"/>
          <w:szCs w:val="30"/>
          <w:lang w:val="en-US"/>
        </w:rPr>
      </w:pPr>
      <w:r>
        <w:rPr>
          <w:rFonts w:hint="eastAsia" w:ascii="仿宋_GB2312" w:eastAsia="仿宋_GB2312" w:cs="仿宋_GB2312"/>
          <w:bCs/>
          <w:sz w:val="30"/>
          <w:szCs w:val="30"/>
          <w:lang w:val="en-US"/>
        </w:rPr>
        <w:t>43.</w:t>
      </w:r>
      <w:r>
        <w:rPr>
          <w:rFonts w:hint="eastAsia" w:ascii="仿宋_GB2312" w:hAnsi="Times New Roman" w:eastAsia="仿宋_GB2312" w:cs="Times New Roman"/>
          <w:bCs/>
          <w:sz w:val="30"/>
          <w:szCs w:val="30"/>
          <w:lang w:eastAsia="zh-CN"/>
        </w:rPr>
        <w:t>新闻舆论传播力引导力影响力公信力提升对策研究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44.郑州市旅游休闲街区业态开发现状及特色对策研究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45.郑州市乡村旅游发展路径研究</w:t>
      </w:r>
    </w:p>
    <w:p>
      <w:pPr>
        <w:pStyle w:val="3"/>
        <w:widowControl/>
        <w:spacing w:before="0" w:beforeAutospacing="0" w:after="120" w:afterAutospacing="0"/>
        <w:ind w:leftChars="200" w:right="0"/>
        <w:rPr>
          <w:lang w:val="en-US"/>
        </w:rPr>
      </w:pP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黑体" w:hAnsi="宋体" w:eastAsia="黑体" w:cs="黑体"/>
          <w:bCs/>
          <w:sz w:val="30"/>
          <w:szCs w:val="30"/>
          <w:lang w:val="en-US"/>
        </w:rPr>
      </w:pPr>
      <w:r>
        <w:rPr>
          <w:rFonts w:hint="eastAsia" w:ascii="黑体" w:hAnsi="宋体" w:eastAsia="黑体" w:cs="黑体"/>
          <w:bCs/>
          <w:kern w:val="2"/>
          <w:sz w:val="30"/>
          <w:szCs w:val="30"/>
          <w:lang w:val="en-US" w:eastAsia="zh-CN" w:bidi="ar"/>
        </w:rPr>
        <w:t>教育·发展</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1.郑州市域社会治理能力现代化研究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2.郑州市城市管理体制机制创新对策研究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3.提升城市软实力的国际经验借鉴与实现路径研究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4.郑州高品质公共服务精准配置与有效供给研究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5.数字化转型背景下城市建设与管理创新研究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6.城市应急管理创新研究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7.郑州市现代化服务绩效动态评价体系研究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8.加强城市智慧化精细管理研究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9.郑州现代乡村治理体系构建研究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10</w:t>
      </w:r>
      <w:r>
        <w:rPr>
          <w:rFonts w:hint="eastAsia" w:ascii="仿宋_GB2312" w:hAnsi="Times New Roman" w:eastAsia="仿宋_GB2312" w:cs="仿宋_GB2312"/>
          <w:bCs/>
          <w:spacing w:val="-11"/>
          <w:kern w:val="2"/>
          <w:sz w:val="30"/>
          <w:szCs w:val="30"/>
          <w:lang w:val="en-US" w:eastAsia="zh-CN" w:bidi="ar"/>
        </w:rPr>
        <w:t>.加强“数字政府”建设，提升政务服务标准化、智能化方法路径研究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color w:val="FF0000"/>
          <w:sz w:val="30"/>
          <w:szCs w:val="30"/>
          <w:lang w:val="en-US"/>
        </w:rPr>
      </w:pPr>
      <w:r>
        <w:rPr>
          <w:rFonts w:hint="eastAsia" w:ascii="仿宋_GB2312" w:hAnsi="Times New Roman" w:eastAsia="仿宋_GB2312" w:cs="仿宋_GB2312"/>
          <w:bCs/>
          <w:kern w:val="2"/>
          <w:sz w:val="30"/>
          <w:szCs w:val="30"/>
          <w:lang w:val="en-US" w:eastAsia="zh-CN" w:bidi="ar"/>
        </w:rPr>
        <w:t>11.郑州高质量发展的新动力源培育思路研究</w:t>
      </w:r>
    </w:p>
    <w:p>
      <w:pPr>
        <w:keepNext w:val="0"/>
        <w:keepLines w:val="0"/>
        <w:widowControl w:val="0"/>
        <w:suppressLineNumbers w:val="0"/>
        <w:adjustRightInd w:val="0"/>
        <w:snapToGrid w:val="0"/>
        <w:spacing w:before="0" w:beforeAutospacing="0" w:after="0" w:afterAutospacing="0" w:line="460" w:lineRule="exact"/>
        <w:ind w:left="300" w:right="0" w:hanging="300" w:hangingChars="10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12.加快构建与特大城市相适应的公共卫生服务保障和应急管理体系研究</w:t>
      </w:r>
    </w:p>
    <w:p>
      <w:pPr>
        <w:keepNext w:val="0"/>
        <w:keepLines w:val="0"/>
        <w:widowControl w:val="0"/>
        <w:suppressLineNumbers w:val="0"/>
        <w:adjustRightInd w:val="0"/>
        <w:snapToGrid w:val="0"/>
        <w:spacing w:before="0" w:beforeAutospacing="0" w:after="0" w:afterAutospacing="0" w:line="460" w:lineRule="exact"/>
        <w:ind w:left="600" w:right="0" w:hanging="600" w:hangingChars="20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13.对新产业新业态实行包容审慎监管思路研究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14.特大城市公共租赁住房发展模式研究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15.郑州市集贸市场软硬件提升问题研究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16.郑州健全主体功能区差异化发展机制研究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17.郑州国家中心城市粮食储备管理与应急保障机制研究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18.郑州社会保障体系高质量发展研究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19.郑州构建多层次医疗保障体系研究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20.精细化管理助力公立医院高质量发展实践研究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21.郑州公共卫生社会治理体系建设思路研究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22.依托医疗卫生机构探索医养康结合新模式研究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23.医务社会工作融入医疗服务体系实践研究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24.健全完善城乡社区管理和服务机制研究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25.郑州市养老服务模式持续优化研究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26.郑州市儿童友好城市建设研究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27.青少年心理健康问题对策研究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28.新时期思政课教育创新研究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29.健全高校立德树人落实机制研究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30.郑州市义务教育优质均衡发展对策研究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31.郑州义务教育资源承载力提升与高质量供给研究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32.郑州教育国际化水平提升对策研究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33.基础教育公共服务能力和水平提升研究</w:t>
      </w:r>
    </w:p>
    <w:p>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34.郑州市“美好教育”实现路径研究</w:t>
      </w:r>
    </w:p>
    <w:p>
      <w:pPr>
        <w:keepNext w:val="0"/>
        <w:keepLines w:val="0"/>
        <w:widowControl w:val="0"/>
        <w:suppressLineNumbers w:val="0"/>
        <w:spacing w:before="0" w:beforeAutospacing="0" w:after="0" w:afterAutospacing="0" w:line="520" w:lineRule="exact"/>
        <w:ind w:left="0" w:right="0"/>
        <w:jc w:val="both"/>
        <w:rPr>
          <w:rFonts w:hint="eastAsia" w:ascii="仿宋_GB2312" w:eastAsia="仿宋_GB2312" w:cs="仿宋_GB2312"/>
          <w:bCs/>
          <w:sz w:val="30"/>
          <w:szCs w:val="30"/>
          <w:lang w:val="en-US"/>
        </w:rPr>
      </w:pPr>
      <w:r>
        <w:rPr>
          <w:rFonts w:hint="eastAsia" w:ascii="仿宋_GB2312" w:hAnsi="Times New Roman" w:eastAsia="仿宋_GB2312" w:cs="仿宋_GB2312"/>
          <w:bCs/>
          <w:kern w:val="2"/>
          <w:sz w:val="30"/>
          <w:szCs w:val="30"/>
          <w:lang w:val="en-US" w:eastAsia="zh-CN" w:bidi="ar"/>
        </w:rPr>
        <w:t>35.新时代郑州高校思想政治教育创新发展研究</w:t>
      </w:r>
    </w:p>
    <w:p>
      <w:pPr>
        <w:pStyle w:val="6"/>
        <w:widowControl/>
        <w:spacing w:line="520" w:lineRule="exact"/>
        <w:ind w:left="0" w:firstLine="0" w:firstLineChars="0"/>
        <w:rPr>
          <w:rFonts w:hint="eastAsia" w:ascii="仿宋_GB2312" w:hAnsi="Times New Roman" w:eastAsia="仿宋_GB2312" w:cs="Times New Roman"/>
          <w:bCs/>
          <w:sz w:val="30"/>
          <w:szCs w:val="30"/>
          <w:lang w:val="en-US"/>
        </w:rPr>
      </w:pPr>
      <w:r>
        <w:rPr>
          <w:rFonts w:hint="eastAsia" w:ascii="仿宋_GB2312" w:hAnsi="Times New Roman" w:eastAsia="仿宋_GB2312" w:cs="Times New Roman"/>
          <w:bCs/>
          <w:sz w:val="30"/>
          <w:szCs w:val="30"/>
          <w:lang w:val="en-US"/>
        </w:rPr>
        <w:t>36.</w:t>
      </w:r>
      <w:r>
        <w:rPr>
          <w:rFonts w:hint="eastAsia" w:ascii="仿宋_GB2312" w:hAnsi="Times New Roman" w:eastAsia="仿宋_GB2312" w:cs="Times New Roman"/>
          <w:bCs/>
          <w:sz w:val="30"/>
          <w:szCs w:val="30"/>
          <w:lang w:eastAsia="zh-CN"/>
        </w:rPr>
        <w:t>大中小学思想政治教育一体化建设的郑州实践研究</w:t>
      </w:r>
    </w:p>
    <w:p>
      <w:pPr>
        <w:pStyle w:val="3"/>
        <w:widowControl/>
        <w:spacing w:before="0" w:beforeAutospacing="0" w:after="120" w:afterAutospacing="0"/>
        <w:ind w:left="0" w:leftChars="0" w:right="0" w:firstLine="0" w:firstLineChars="0"/>
        <w:rPr>
          <w:rFonts w:hint="eastAsia" w:ascii="仿宋_GB2312" w:eastAsia="仿宋_GB2312" w:cs="仿宋_GB2312"/>
          <w:bCs/>
          <w:sz w:val="30"/>
          <w:szCs w:val="30"/>
          <w:lang w:val="en-US"/>
        </w:rPr>
      </w:pP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7781F"/>
    <w:multiLevelType w:val="multilevel"/>
    <w:tmpl w:val="1F57781F"/>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MTMwODZhM2MzN2E5YjRmZTRkZjM4MjU3ZmI4MTkifQ=="/>
  </w:docVars>
  <w:rsids>
    <w:rsidRoot w:val="00000000"/>
    <w:rsid w:val="01C61888"/>
    <w:rsid w:val="06405035"/>
    <w:rsid w:val="06A97B00"/>
    <w:rsid w:val="072C2FC1"/>
    <w:rsid w:val="09B00C5C"/>
    <w:rsid w:val="09D55F20"/>
    <w:rsid w:val="0E8C26D7"/>
    <w:rsid w:val="0F022735"/>
    <w:rsid w:val="12470022"/>
    <w:rsid w:val="194C76D6"/>
    <w:rsid w:val="1B4752D0"/>
    <w:rsid w:val="1C0D6EF0"/>
    <w:rsid w:val="1CD762D4"/>
    <w:rsid w:val="1E0F008E"/>
    <w:rsid w:val="1FBC65FB"/>
    <w:rsid w:val="2A2F7CDB"/>
    <w:rsid w:val="2A31303B"/>
    <w:rsid w:val="2C783C6D"/>
    <w:rsid w:val="323C3BC9"/>
    <w:rsid w:val="32873B9C"/>
    <w:rsid w:val="34BA64D4"/>
    <w:rsid w:val="35FD48F1"/>
    <w:rsid w:val="3B9602CB"/>
    <w:rsid w:val="3E510AC5"/>
    <w:rsid w:val="3F0D1BB6"/>
    <w:rsid w:val="4941633E"/>
    <w:rsid w:val="49824717"/>
    <w:rsid w:val="4C8267CB"/>
    <w:rsid w:val="4D33317F"/>
    <w:rsid w:val="4D904B0A"/>
    <w:rsid w:val="4DC01B08"/>
    <w:rsid w:val="4E351D97"/>
    <w:rsid w:val="4EBC13C7"/>
    <w:rsid w:val="4F4203FF"/>
    <w:rsid w:val="54E94BA1"/>
    <w:rsid w:val="5A055012"/>
    <w:rsid w:val="5A726351"/>
    <w:rsid w:val="5A8C106D"/>
    <w:rsid w:val="5BD659A2"/>
    <w:rsid w:val="5E4B0132"/>
    <w:rsid w:val="5EE22F96"/>
    <w:rsid w:val="5F5773C4"/>
    <w:rsid w:val="60C46CB3"/>
    <w:rsid w:val="63B44489"/>
    <w:rsid w:val="64B251EF"/>
    <w:rsid w:val="64B62D1C"/>
    <w:rsid w:val="65984182"/>
    <w:rsid w:val="66924034"/>
    <w:rsid w:val="70A15EE1"/>
    <w:rsid w:val="70A32437"/>
    <w:rsid w:val="70C45781"/>
    <w:rsid w:val="7925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link w:val="8"/>
    <w:uiPriority w:val="0"/>
    <w:pPr>
      <w:spacing w:after="120" w:afterLines="0" w:afterAutospacing="0"/>
      <w:ind w:left="420" w:leftChars="200"/>
    </w:pPr>
  </w:style>
  <w:style w:type="paragraph" w:styleId="3">
    <w:name w:val="Body Text First Indent 2"/>
    <w:basedOn w:val="2"/>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6">
    <w:name w:val="msolistparagraph"/>
    <w:basedOn w:val="1"/>
    <w:next w:val="7"/>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Calibri"/>
      <w:kern w:val="2"/>
      <w:sz w:val="21"/>
      <w:szCs w:val="21"/>
      <w:lang w:val="en-US" w:eastAsia="zh-CN" w:bidi="ar"/>
    </w:rPr>
  </w:style>
  <w:style w:type="paragraph" w:styleId="7">
    <w:name w:val="index 9"/>
    <w:basedOn w:val="1"/>
    <w:next w:val="1"/>
    <w:uiPriority w:val="0"/>
    <w:pPr>
      <w:ind w:left="1600" w:leftChars="1600"/>
    </w:pPr>
  </w:style>
  <w:style w:type="character" w:customStyle="1" w:styleId="8">
    <w:name w:val="正文文本缩进 字符"/>
    <w:basedOn w:val="5"/>
    <w:link w:val="2"/>
    <w:uiPriority w:val="0"/>
    <w:rPr>
      <w:kern w:val="2"/>
      <w:sz w:val="21"/>
      <w:szCs w:val="24"/>
    </w:rPr>
  </w:style>
  <w:style w:type="character" w:customStyle="1" w:styleId="9">
    <w:name w:val="正文文本首行缩进 2 字符"/>
    <w:basedOn w:val="8"/>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2023-09-05T08:23:00Z</dcterms:created>
  <dc:creator>Administrator</dc:creator>
  <cp:lastModifiedBy>付一涵</cp:lastModifiedBy>
  <dcterms:modified xsi:type="dcterms:W3CDTF">2024-02-26T06:18:19Z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E7E76CF10A3A443AA465DFCBBC9E57F0_12</vt:lpwstr>
  </property>
</Properties>
</file>